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6FAE" w14:textId="6FD59DDF" w:rsidR="00006C0D" w:rsidRPr="00CE6031" w:rsidRDefault="00006C0D" w:rsidP="00006C0D">
      <w:pPr>
        <w:suppressLineNumbers/>
        <w:shd w:val="clear" w:color="auto" w:fill="FFFFFF"/>
        <w:tabs>
          <w:tab w:val="left" w:leader="underscore" w:pos="6104"/>
        </w:tabs>
        <w:autoSpaceDE w:val="0"/>
        <w:autoSpaceDN w:val="0"/>
        <w:adjustRightInd w:val="0"/>
        <w:spacing w:after="0" w:line="274" w:lineRule="atLeas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Додаток №1 до ДОГОВОРУ </w:t>
      </w:r>
      <w:r w:rsidR="00CE60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ОФЕРТИ</w:t>
      </w:r>
    </w:p>
    <w:p w14:paraId="080C3830" w14:textId="77777777" w:rsidR="00006C0D" w:rsidRPr="00006C0D" w:rsidRDefault="00006C0D" w:rsidP="00006C0D">
      <w:pPr>
        <w:suppressLineNumbers/>
        <w:shd w:val="clear" w:color="auto" w:fill="FFFFFF"/>
        <w:autoSpaceDE w:val="0"/>
        <w:autoSpaceDN w:val="0"/>
        <w:adjustRightInd w:val="0"/>
        <w:spacing w:after="0" w:line="274" w:lineRule="atLeast"/>
        <w:ind w:right="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«Ознайомлення пацієнта з правилами та методами Процедури факоемульсифікації з імплантацєюї ІОЛ та можливими наслідками»</w:t>
      </w:r>
    </w:p>
    <w:p w14:paraId="028E0191" w14:textId="4A4C38ED" w:rsidR="00006C0D" w:rsidRPr="00006C0D" w:rsidRDefault="00006C0D" w:rsidP="00006C0D">
      <w:pPr>
        <w:suppressLineNumbers/>
        <w:shd w:val="clear" w:color="auto" w:fill="FFFFFF"/>
        <w:tabs>
          <w:tab w:val="left" w:leader="underscore" w:pos="1368"/>
          <w:tab w:val="left" w:leader="underscore" w:pos="2956"/>
          <w:tab w:val="left" w:leader="underscore" w:pos="3565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 </w:t>
      </w:r>
    </w:p>
    <w:p w14:paraId="73A172DD" w14:textId="092699DF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1.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Ознайомвшись з даним додатком до договору оферти, </w:t>
      </w:r>
    </w:p>
    <w:p w14:paraId="13C08199" w14:textId="3FD74A00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 власною ініціативою добровільно погоджуюсь на проведення мені Процедури факоемульсифікації з імплантацією ІОЛ.</w:t>
      </w:r>
    </w:p>
    <w:p w14:paraId="5B38810E" w14:textId="77777777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 Я отримав(ла) усі необхідні роз’яснення з приводу мого захворювання, запропонованого лікування та можливих наслідків лікування. Мене ознайомили з правилами та методами, що будуть застосовані при проведенні процедури, а також з можливими наслідками.</w:t>
      </w:r>
    </w:p>
    <w:p w14:paraId="21BBD1F3" w14:textId="26AB6B71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 Я зобов’язуюся надати усі документи про стан здоров’я, видані медичними установами України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та або лікувльними закладами інших країн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та пройти медичне обстеження на предмет виявлення факторів, що можуть призвести до ускладнень в процесі проведення Процедури та в післяпроцедурний період, а також повідомити усі необхідні дані для встановлення протипоказань у проведенні Процедури.</w:t>
      </w:r>
    </w:p>
    <w:p w14:paraId="3D722547" w14:textId="77777777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 Я зобов’язуюся дотримуватися та виконувати усі призначення та рекомендації Клініки.</w:t>
      </w:r>
    </w:p>
    <w:p w14:paraId="5F0CF201" w14:textId="77777777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5. Мені повідомили про можливість появи інших захворювань на прооперованому оці в подальшому житті, що не пов’язані з проведенням Процедури факоемульсифікації з імплантацією ІОЛ, та про можливість ускладнень в процесі проведення Процедури та в післяпроцедурний період, пов’язаних з індивідуальною реакцією організму на оперативне втручання.</w:t>
      </w:r>
    </w:p>
    <w:p w14:paraId="0EACE8B5" w14:textId="77777777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 ускладнення під час операції:</w:t>
      </w:r>
    </w:p>
    <w:p w14:paraId="1A682127" w14:textId="146E785F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а) експульсивна кровотеча з великих судин ока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(хоріоідеї)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Може призвести до втрати зору або ока. Частіше зустрічається у хворих на гіпертонічну хворобу, цукровий діабет, глаукому.</w:t>
      </w:r>
    </w:p>
    <w:p w14:paraId="27CC8DE4" w14:textId="64FB19F9" w:rsidR="00006C0D" w:rsidRPr="00692D62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б) надрив цинових зв'язок, дислокація фрагменту або цілого кришталика у скловидне тіло, що потребує ІІ етапу оперативного лікування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задня закрита 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вітректомія + шовна фіксація ІОЛ.</w:t>
      </w:r>
      <w:r w:rsidR="00692D6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Частіше зустрічається у хворих зі слабким зв’язково-капсулярним комплексом. </w:t>
      </w:r>
    </w:p>
    <w:p w14:paraId="33C3766C" w14:textId="24DCF2DE" w:rsidR="00692D62" w:rsidRPr="00692D62" w:rsidRDefault="00692D62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в) пошкодження рогівки, що може призвести до епітеліально-ендотеліальної дистрофії зі значною втратою зору. Частіше трапляється при ускладнених випадках катаракти та далеко розвинених катарактах. Також відсоток даних ускладнень збільшується у більш старших вікових групах пацієнтів у зв’язку з фізіологічними особливостями.</w:t>
      </w:r>
    </w:p>
    <w:p w14:paraId="6D6C2A8F" w14:textId="77777777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 ускладнення після операції:</w:t>
      </w:r>
    </w:p>
    <w:p w14:paraId="69A99BC5" w14:textId="28BF98CC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післяопераційний увеїт (значне негнійне запалення в середині ока). Вірогідність 1:300. Потребує тривалого інтенсивного лікування. Можливе зниження гостроти зору. Частіше зустрічається у хворих на хронічні запальні захворювання, діабет, </w:t>
      </w:r>
      <w:r w:rsidR="00692D6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запальних процесах повік, 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розвитку гострого, інфекційного захворювання в післяопераційний період.</w:t>
      </w:r>
    </w:p>
    <w:p w14:paraId="2AC9BD18" w14:textId="77777777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ендофтальміт (тяжке гнійне запалення в середині ока). Вірогідність 1: 8000. Потребує інтенсивної протизапальної терапії. Можлива втрата зору або ока. Великий ризик у хворих з вогнищами хронічної гнійної інфекції в організмі.</w:t>
      </w:r>
    </w:p>
    <w:p w14:paraId="1868041C" w14:textId="77777777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в) відшарування сітківки в ранньому та пізньому післяопераційному періоді. Вірогідність 1:6000. Потребує операції. Можливе зниження гостроти зору. Частіше зустрічається у хворих на високу короткозорість, значну дегенерацію сітківки, цукровий діабет та хворих з післятравматичними змінами сітківки.</w:t>
      </w:r>
    </w:p>
    <w:p w14:paraId="69725719" w14:textId="41D55CB6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г) злоякісна глаукома (дуже </w:t>
      </w:r>
      <w:r w:rsidR="00A856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значне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неконтрольоване підвищення внутрішньоочного тиску). Вірогідність 1:12000. Потребує операції. Можлива втрата зору;</w:t>
      </w:r>
    </w:p>
    <w:p w14:paraId="62844B5F" w14:textId="6C82369B" w:rsid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д) післяопераційний набряк рогівки</w:t>
      </w:r>
      <w:r w:rsidR="00A856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, тимчасовий стан, що знижує зір, ефективно піддається консервативному лікуванню.</w:t>
      </w:r>
    </w:p>
    <w:p w14:paraId="5A75D4FD" w14:textId="2283F7AC" w:rsidR="00A8566D" w:rsidRDefault="00A8566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е) набряк макули (с-ром Ірвіна-Гаса), - реактивне запалення центральної зони сітківки. Частіше виникає у пацієнтів з хронічними загальними судинними патологіями, при ускладнених задавнених катарактах. Ефективно піддається консервативному лікуванню.</w:t>
      </w:r>
    </w:p>
    <w:p w14:paraId="1EA6EB2B" w14:textId="67A49F9B" w:rsidR="00A8566D" w:rsidRDefault="00A8566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є) дислокація або децентрація інтраокулярної штучної лінзи. Виникає у хворих зі слабким зв’язково-капсулярним комплексом. Потребує ІІ етапу оперативного лікування (підшивання гаптичних елементів ІОЛ)</w:t>
      </w:r>
    </w:p>
    <w:p w14:paraId="318BFC77" w14:textId="2A368589" w:rsidR="00A8566D" w:rsidRDefault="00A8566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lastRenderedPageBreak/>
        <w:t xml:space="preserve">ж) вторинна плівкова катаракта – помутніння задньої капсули кришталика. Ефективно піддається лікуванню за допомогою лазерної капсулодисцизії. </w:t>
      </w:r>
    </w:p>
    <w:p w14:paraId="53210045" w14:textId="38D06742" w:rsidR="00AE044D" w:rsidRPr="00AE044D" w:rsidRDefault="00AE044D" w:rsidP="00AE044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з) 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фіброз капсули кришталика та послідуючої дислокації ІОЛ, що знижує гостроту зору, і може потребувати додаткового лікування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(лазерного або хірургічного послаблення капсулярного мішка)</w:t>
      </w:r>
    </w:p>
    <w:p w14:paraId="08ADB54F" w14:textId="34144909" w:rsidR="00AE044D" w:rsidRPr="00A8566D" w:rsidRDefault="00AE044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24AEAC" w14:textId="03245A71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Я проінформований(а) про можливість неповної гостроти зору у зв'язку з можливими змінами на очному дні.</w:t>
      </w:r>
    </w:p>
    <w:p w14:paraId="6D4DF8F0" w14:textId="3A976969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9. Я проінформований(а) про можливість рефракційн</w:t>
      </w:r>
      <w:r w:rsidR="003F381F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их відхилень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63540426" w14:textId="5C05FB65" w:rsidR="00006C0D" w:rsidRPr="003F381F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 Я проінформований(а) про необхідність користу</w:t>
      </w:r>
      <w:r w:rsidR="00165E5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ватись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окулярами після операції</w:t>
      </w:r>
      <w:r w:rsidR="003F381F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, у випадку імплантації монофокальних ІОЛ та ІОЛ з </w:t>
      </w:r>
      <w:r w:rsidR="003F381F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EDOF</w:t>
      </w:r>
      <w:r w:rsidR="003F381F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оптикою.</w:t>
      </w:r>
    </w:p>
    <w:p w14:paraId="2930147A" w14:textId="77A716AA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11. Я проінформований(а) про те, що зір обох очей після операції </w:t>
      </w:r>
      <w:r w:rsidR="003F381F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може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відрізнятися.</w:t>
      </w:r>
    </w:p>
    <w:p w14:paraId="348E4AA9" w14:textId="39854647" w:rsidR="00006C0D" w:rsidRPr="00006C0D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 Я проінформований(а) про те, що </w:t>
      </w:r>
      <w:r w:rsidR="003F381F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в ускладнених випадках та випадках зі змінами на сітківці операція 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проводиться без гарантій високих зорових функцій.</w:t>
      </w:r>
    </w:p>
    <w:p w14:paraId="0F32F439" w14:textId="77777777" w:rsidR="00F66BA8" w:rsidRDefault="00F66BA8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9B43A32" w14:textId="49E271C2" w:rsidR="00006C0D" w:rsidRPr="003F381F" w:rsidRDefault="00006C0D" w:rsidP="00006C0D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Даний додаток є невід’ємною частиною Договору  </w:t>
      </w:r>
      <w:r w:rsidR="003F381F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оферти</w:t>
      </w:r>
    </w:p>
    <w:p w14:paraId="782FE31B" w14:textId="77777777" w:rsid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</w:p>
    <w:p w14:paraId="59FBC328" w14:textId="72EC8ED1" w:rsidR="006F23DC" w:rsidRP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Медичний центр                                                                    </w:t>
      </w:r>
    </w:p>
    <w:p w14:paraId="2A7AC819" w14:textId="77777777" w:rsidR="006F23DC" w:rsidRP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ТОВ «Клініка Зір»</w:t>
      </w:r>
    </w:p>
    <w:p w14:paraId="435B3682" w14:textId="77777777" w:rsidR="006F23DC" w:rsidRP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10025, Україна, м. Житомир,</w:t>
      </w:r>
    </w:p>
    <w:p w14:paraId="1D46E163" w14:textId="77777777" w:rsidR="006F23DC" w:rsidRP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вул. Кибальчича, буд. 2/4 корп. «Б»</w:t>
      </w:r>
    </w:p>
    <w:p w14:paraId="4341435E" w14:textId="77777777" w:rsidR="006F23DC" w:rsidRP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ЄДРПОУ 41960937</w:t>
      </w:r>
    </w:p>
    <w:p w14:paraId="39C25407" w14:textId="77777777" w:rsidR="006F23DC" w:rsidRP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ІПН – не платник ПДВ</w:t>
      </w:r>
    </w:p>
    <w:p w14:paraId="6F1E5314" w14:textId="77777777" w:rsidR="006F23DC" w:rsidRP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Ліцензія Наказ Міністерства охорони                                                </w:t>
      </w:r>
    </w:p>
    <w:p w14:paraId="79660B7E" w14:textId="77777777" w:rsidR="006F23DC" w:rsidRP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здоров’я України 05.04.2018 № 622</w:t>
      </w:r>
    </w:p>
    <w:p w14:paraId="5AD3C9E6" w14:textId="77777777" w:rsidR="006F23DC" w:rsidRP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р/р </w:t>
      </w:r>
      <w:r w:rsidRPr="006F23DC">
        <w:rPr>
          <w:rFonts w:ascii="Times New Roman" w:hAnsi="Times New Roman" w:cs="Times New Roman"/>
          <w:lang w:val="en-US"/>
        </w:rPr>
        <w:t>UA</w:t>
      </w:r>
      <w:r w:rsidRPr="006F23DC">
        <w:rPr>
          <w:rFonts w:ascii="Times New Roman" w:hAnsi="Times New Roman" w:cs="Times New Roman"/>
        </w:rPr>
        <w:t>98</w:t>
      </w:r>
      <w:r w:rsidRPr="006F23DC">
        <w:rPr>
          <w:rFonts w:ascii="Times New Roman" w:hAnsi="Times New Roman" w:cs="Times New Roman"/>
          <w:lang w:val="uk-UA"/>
        </w:rPr>
        <w:t>3006140000026008500308268</w:t>
      </w:r>
    </w:p>
    <w:p w14:paraId="09F55067" w14:textId="77777777" w:rsidR="006F23DC" w:rsidRP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ПАТ « КРЕДІ АГРІКОЛЬ БАНК » </w:t>
      </w:r>
    </w:p>
    <w:p w14:paraId="231A3CB6" w14:textId="036E9972" w:rsid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м. Житомир, МФО 300614</w:t>
      </w:r>
    </w:p>
    <w:p w14:paraId="45015054" w14:textId="6AC06B98" w:rsidR="006F23DC" w:rsidRPr="006F23DC" w:rsidRDefault="006F23DC" w:rsidP="006F23DC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Петрикович С.Ф.</w:t>
      </w:r>
    </w:p>
    <w:p w14:paraId="794E9C09" w14:textId="77777777" w:rsidR="00BB2558" w:rsidRPr="006F23DC" w:rsidRDefault="00BB2558">
      <w:pPr>
        <w:rPr>
          <w:rFonts w:ascii="Times New Roman" w:hAnsi="Times New Roman" w:cs="Times New Roman"/>
          <w:sz w:val="24"/>
          <w:szCs w:val="24"/>
        </w:rPr>
      </w:pPr>
    </w:p>
    <w:sectPr w:rsidR="00BB2558" w:rsidRPr="006F2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BA"/>
    <w:rsid w:val="00006C0D"/>
    <w:rsid w:val="00165E58"/>
    <w:rsid w:val="003F381F"/>
    <w:rsid w:val="00692D62"/>
    <w:rsid w:val="006F23DC"/>
    <w:rsid w:val="008B5D56"/>
    <w:rsid w:val="00A8566D"/>
    <w:rsid w:val="00AE044D"/>
    <w:rsid w:val="00BB2558"/>
    <w:rsid w:val="00C43CBA"/>
    <w:rsid w:val="00CE6031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2A58"/>
  <w15:chartTrackingRefBased/>
  <w15:docId w15:val="{E8FAAEE9-DDEE-4668-9F2C-AC5C591D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0D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3294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2025-05-27T17:37:00Z</dcterms:created>
  <dcterms:modified xsi:type="dcterms:W3CDTF">2025-05-28T17:27:00Z</dcterms:modified>
</cp:coreProperties>
</file>